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D332" w14:textId="007326A3" w:rsidR="00220552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 Activity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, </w:t>
      </w:r>
      <w:r w:rsidR="00220552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T</w:t>
      </w:r>
      <w:r w:rsidR="009244C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HURSDAY, MARCH 19</w:t>
      </w: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: </w:t>
      </w:r>
    </w:p>
    <w:p w14:paraId="6564620F" w14:textId="53ECA424" w:rsidR="006D389F" w:rsidRPr="006D389F" w:rsidRDefault="00220552" w:rsidP="006D389F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ACADEMIC 10</w:t>
      </w:r>
    </w:p>
    <w:p w14:paraId="5712C07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6D389F">
        <w:rPr>
          <w:rFonts w:ascii="Calibri" w:eastAsia="Times New Roman" w:hAnsi="Calibri" w:cs="Calibri"/>
          <w:b/>
          <w:bCs/>
          <w:color w:val="0C0C0C"/>
        </w:rPr>
        <w:t> </w:t>
      </w:r>
    </w:p>
    <w:p w14:paraId="65B8C02D" w14:textId="0445813A" w:rsidR="009244CF" w:rsidRDefault="009244C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highlight w:val="yellow"/>
        </w:rPr>
        <w:t>NOTE: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 Some of you still haven’t uploaded </w:t>
      </w:r>
      <w:r w:rsidR="00C061A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into Canvas 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either your 4 post its/analysis or your 1</w:t>
      </w:r>
      <w:r w:rsidRPr="009244CF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vertAlign w:val="superscript"/>
        </w:rPr>
        <w:t>st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half of book checkpoint for independent reading.  Please </w:t>
      </w:r>
      <w:r w:rsidR="00C5045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take care of that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.  If you did post, you’ll find feedback in Canvas.</w:t>
      </w:r>
      <w:r w:rsidR="0011635B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 </w:t>
      </w:r>
    </w:p>
    <w:p w14:paraId="797B3D1F" w14:textId="07E4D12A" w:rsidR="0011635B" w:rsidRDefault="0011635B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7038F852" w14:textId="2CDF5F15" w:rsidR="0011635B" w:rsidRDefault="0011635B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11635B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highlight w:val="cyan"/>
        </w:rPr>
        <w:t>NOTE 2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  Now that we’re a few days into this plan, I’ll be posting just to Canvas; no longer will I also post materials to SchoolWires.  So, check SchoolWires for the plan</w:t>
      </w:r>
      <w:r w:rsidR="00C70BBE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, wich will give 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instructions about resources in Canvas.</w:t>
      </w:r>
    </w:p>
    <w:p w14:paraId="37601940" w14:textId="77777777" w:rsidR="009244CF" w:rsidRDefault="009244C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6C1C5AF2" w14:textId="5C9DE7CC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56ED8CC" w14:textId="0EB51EAE" w:rsidR="006D389F" w:rsidRPr="00C50459" w:rsidRDefault="009244CF" w:rsidP="00C50459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Self-check understanding of “I Sit and Look,” make connections between artists from 1800s and 2000s regarding their views of the world</w:t>
      </w:r>
      <w:r w:rsidR="00CA3E7C"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, and read independently</w:t>
      </w: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.  </w:t>
      </w:r>
    </w:p>
    <w:p w14:paraId="57E6D407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FE5911E" w14:textId="2AC467F9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9244CF">
        <w:rPr>
          <w:rFonts w:ascii="Source Sans Pro" w:eastAsia="Times New Roman" w:hAnsi="Source Sans Pro" w:cs="Calibri"/>
          <w:color w:val="0C0C0C"/>
          <w:sz w:val="24"/>
          <w:szCs w:val="24"/>
        </w:rPr>
        <w:t>45</w:t>
      </w:r>
      <w:r w:rsidR="00CA3E7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5146F31" w14:textId="6ECF6C42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9244C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/Goals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  </w:t>
      </w:r>
    </w:p>
    <w:p w14:paraId="7E3836A9" w14:textId="21ED4538" w:rsidR="00AB0350" w:rsidRPr="00C50459" w:rsidRDefault="009244CF" w:rsidP="00C50459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Understanding our strengths and weaknesses creates self-awareness to guide our improvement and advancement.</w:t>
      </w:r>
    </w:p>
    <w:p w14:paraId="26853FC0" w14:textId="7E148EF3" w:rsidR="009244CF" w:rsidRPr="00C50459" w:rsidRDefault="009244CF" w:rsidP="00C50459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Making connections helps us see how different forms of art speak to similar issues across time.</w:t>
      </w:r>
    </w:p>
    <w:p w14:paraId="75BCFA8F" w14:textId="66D48790" w:rsidR="009244CF" w:rsidRPr="00C50459" w:rsidRDefault="009244CF" w:rsidP="00C50459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Art can provide important commentary on life.</w:t>
      </w:r>
    </w:p>
    <w:p w14:paraId="712F564D" w14:textId="77777777" w:rsidR="009244CF" w:rsidRDefault="009244C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9569359" w14:textId="02617E1A" w:rsidR="005B3D12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4E3AFB10" w14:textId="5D0AD977" w:rsidR="00C50459" w:rsidRDefault="00C50459" w:rsidP="00C50459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Teacher key for “I Sit and Look Out”</w:t>
      </w:r>
      <w:r w:rsidR="0011635B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(Canvas)</w:t>
      </w:r>
    </w:p>
    <w:p w14:paraId="0E208E8A" w14:textId="60FC6852" w:rsidR="00DE2AA9" w:rsidRPr="00C50459" w:rsidRDefault="00C50459" w:rsidP="00C50459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Office365 document on mood/notorious figures/tragedy (see link reminder below)</w:t>
      </w:r>
    </w:p>
    <w:p w14:paraId="379F5A92" w14:textId="0DEBF7C5" w:rsidR="00C50459" w:rsidRPr="00C50459" w:rsidRDefault="00C50459" w:rsidP="00C50459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Linkin Park video (Canvas or see link below)</w:t>
      </w:r>
    </w:p>
    <w:p w14:paraId="08017480" w14:textId="1D61298A" w:rsidR="00C50459" w:rsidRPr="00C50459" w:rsidRDefault="00C50459" w:rsidP="00C50459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Poem “I Sit and Look Out” (you have that from yesterday from SchoolWires/Canvas)</w:t>
      </w:r>
    </w:p>
    <w:p w14:paraId="33836255" w14:textId="0618B657" w:rsidR="00C50459" w:rsidRDefault="00C50459" w:rsidP="00C50459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C50459">
        <w:rPr>
          <w:rFonts w:ascii="Source Sans Pro" w:eastAsia="Times New Roman" w:hAnsi="Source Sans Pro" w:cs="Calibri"/>
          <w:color w:val="0C0C0C"/>
          <w:sz w:val="24"/>
          <w:szCs w:val="24"/>
        </w:rPr>
        <w:t>Whitman and Linkin Park comparison sheet (Canvas)</w:t>
      </w:r>
    </w:p>
    <w:p w14:paraId="6E522CCE" w14:textId="486C8BA5" w:rsidR="00C50459" w:rsidRPr="00C50459" w:rsidRDefault="00C50459" w:rsidP="00C50459">
      <w:pPr>
        <w:pStyle w:val="ListParagraph"/>
        <w:numPr>
          <w:ilvl w:val="0"/>
          <w:numId w:val="33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Independent reading book</w:t>
      </w:r>
    </w:p>
    <w:p w14:paraId="55DF44AC" w14:textId="77777777" w:rsidR="00C50459" w:rsidRDefault="00C5045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36008B71" w14:textId="77777777" w:rsidR="00C50459" w:rsidRPr="004556A6" w:rsidRDefault="00C50459" w:rsidP="00C50459">
      <w:pPr>
        <w:pStyle w:val="ListParagraph"/>
        <w:numPr>
          <w:ilvl w:val="0"/>
          <w:numId w:val="36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>Poetry practice allows for development of analytical skills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</w:p>
    <w:p w14:paraId="4DF239A7" w14:textId="02B57160" w:rsidR="00C50459" w:rsidRDefault="00C50459" w:rsidP="00C50459">
      <w:pPr>
        <w:pStyle w:val="ListParagraph"/>
        <w:numPr>
          <w:ilvl w:val="0"/>
          <w:numId w:val="36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Making connections 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(like we did with “I Hear America Singing” and the Coke commercial for the Super Bowl) </w:t>
      </w:r>
      <w:r w:rsidRPr="004556A6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allows us to consider how artists reflect their feelings on social issues in the past and 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in the current times.</w:t>
      </w:r>
    </w:p>
    <w:p w14:paraId="05CB1EDC" w14:textId="0B34001A" w:rsidR="00C50459" w:rsidRDefault="00C50459" w:rsidP="00C50459">
      <w:pPr>
        <w:pStyle w:val="ListParagraph"/>
        <w:numPr>
          <w:ilvl w:val="0"/>
          <w:numId w:val="36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Independent reading develops your </w:t>
      </w:r>
      <w:r w:rsidR="00C061AC">
        <w:rPr>
          <w:rFonts w:ascii="Source Sans Pro" w:eastAsia="Times New Roman" w:hAnsi="Source Sans Pro" w:cs="Calibri"/>
          <w:color w:val="0C0C0C"/>
          <w:sz w:val="24"/>
          <w:szCs w:val="24"/>
        </w:rPr>
        <w:t>analysis of lit elements, stylistic/story-telling techniques, identity development, and/or graphic novel conventions, and/or nonfiction elements.</w:t>
      </w:r>
    </w:p>
    <w:p w14:paraId="1E8DE3AE" w14:textId="6E75BDD5" w:rsidR="006D389F" w:rsidRPr="006D389F" w:rsidRDefault="006D389F" w:rsidP="00DE2AA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89F">
        <w:rPr>
          <w:rFonts w:ascii="Calibri" w:eastAsia="Times New Roman" w:hAnsi="Calibri" w:cs="Calibri"/>
          <w:sz w:val="24"/>
          <w:szCs w:val="24"/>
        </w:rPr>
        <w:t> </w:t>
      </w:r>
    </w:p>
    <w:p w14:paraId="27A85795" w14:textId="2A46C970" w:rsidR="00773537" w:rsidRDefault="006D389F" w:rsidP="009244C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(List the specific tasks the students will complete</w:t>
      </w:r>
      <w:r w:rsidR="00BC4601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78AA9CA9" w14:textId="1F1FD49D" w:rsidR="009244CF" w:rsidRDefault="009244CF" w:rsidP="009244CF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Review the ideas posted to Office365 on mood, notorious figures, and tragedies in the Linkin Park video for your specific class</w:t>
      </w:r>
      <w:r w:rsidR="00427CDC">
        <w:rPr>
          <w:rFonts w:ascii="Source Sans Pro" w:eastAsia="Times New Roman" w:hAnsi="Source Sans Pro" w:cs="Calibri"/>
          <w:color w:val="0C0C0C"/>
          <w:sz w:val="24"/>
          <w:szCs w:val="24"/>
        </w:rPr>
        <w:t>; I’ve posted feedback there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:</w:t>
      </w:r>
    </w:p>
    <w:p w14:paraId="4CF6CA92" w14:textId="77777777" w:rsidR="009244CF" w:rsidRDefault="009244CF" w:rsidP="009244CF">
      <w:pPr>
        <w:pStyle w:val="NoSpacing"/>
        <w:numPr>
          <w:ilvl w:val="1"/>
          <w:numId w:val="31"/>
        </w:numPr>
        <w:tabs>
          <w:tab w:val="left" w:pos="1710"/>
        </w:tabs>
      </w:pPr>
      <w:r>
        <w:t xml:space="preserve">BLOCK 1 link: </w:t>
      </w:r>
      <w:hyperlink r:id="rId8" w:history="1">
        <w:r w:rsidRPr="000A44A6">
          <w:rPr>
            <w:rStyle w:val="Hyperlink"/>
          </w:rPr>
          <w:t>https://cbsd-my.sharepoint.com/:w:/g/personal/cremar_cbsd_org/EdThrROXGexIq2DjpxjKF1oBzsqb5XAskpOoZkQosgPUbQ?e=ETXLzR</w:t>
        </w:r>
      </w:hyperlink>
    </w:p>
    <w:p w14:paraId="32C62067" w14:textId="77777777" w:rsidR="009244CF" w:rsidRDefault="009244CF" w:rsidP="009244CF">
      <w:pPr>
        <w:pStyle w:val="NoSpacing"/>
        <w:tabs>
          <w:tab w:val="left" w:pos="1710"/>
        </w:tabs>
      </w:pPr>
    </w:p>
    <w:p w14:paraId="75D5CF54" w14:textId="77777777" w:rsidR="009244CF" w:rsidRDefault="009244CF" w:rsidP="009244CF">
      <w:pPr>
        <w:pStyle w:val="NoSpacing"/>
        <w:numPr>
          <w:ilvl w:val="1"/>
          <w:numId w:val="31"/>
        </w:numPr>
        <w:tabs>
          <w:tab w:val="left" w:pos="1710"/>
        </w:tabs>
      </w:pPr>
      <w:r>
        <w:lastRenderedPageBreak/>
        <w:t xml:space="preserve">BLOCK 2 link: </w:t>
      </w:r>
      <w:hyperlink r:id="rId9" w:history="1">
        <w:r w:rsidRPr="000A44A6">
          <w:rPr>
            <w:rStyle w:val="Hyperlink"/>
          </w:rPr>
          <w:t>https://cbsd-my.sharepoint.com/:w:/g/personal/cremar_cbsd_org/EQBSFStuBlBMlSspQGTpVXcBh0DnAYXZFAKdtjaQ7hUJ3Q?e=44uvQR</w:t>
        </w:r>
      </w:hyperlink>
    </w:p>
    <w:p w14:paraId="7C16F907" w14:textId="34A91438" w:rsidR="00C50459" w:rsidRPr="00C50459" w:rsidRDefault="009244CF" w:rsidP="00C50459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Watch the video one more time.</w:t>
      </w:r>
      <w:r w:rsidR="00C5045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 The video is on Canvas, or click here: </w:t>
      </w:r>
      <w:hyperlink r:id="rId10" w:history="1">
        <w:r w:rsidR="00C50459" w:rsidRPr="000A44A6">
          <w:rPr>
            <w:rStyle w:val="Hyperlink"/>
          </w:rPr>
          <w:t>https://www.youtube.com/watch?v=8sgycukafqQ</w:t>
        </w:r>
      </w:hyperlink>
    </w:p>
    <w:p w14:paraId="35F1826A" w14:textId="20CF7E5A" w:rsidR="009244CF" w:rsidRDefault="00C061AC" w:rsidP="009244CF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Review the teacher key on “I Sit and Look Out” and have your </w:t>
      </w:r>
      <w:r w:rsidR="009244C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copy 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available for reference.</w:t>
      </w:r>
    </w:p>
    <w:p w14:paraId="5691BC31" w14:textId="476714FF" w:rsidR="009244CF" w:rsidRDefault="009244CF" w:rsidP="009244CF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the </w:t>
      </w:r>
      <w:r w:rsidR="00E809F3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Whitman and Linkin Park </w:t>
      </w:r>
      <w:r w:rsidR="00D506F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comparison sheet </w:t>
      </w:r>
      <w:r w:rsidR="00E809F3">
        <w:rPr>
          <w:rFonts w:ascii="Source Sans Pro" w:eastAsia="Times New Roman" w:hAnsi="Source Sans Pro" w:cs="Calibri"/>
          <w:color w:val="0C0C0C"/>
          <w:sz w:val="24"/>
          <w:szCs w:val="24"/>
        </w:rPr>
        <w:t>(</w:t>
      </w:r>
      <w:r w:rsidR="00D506F9">
        <w:rPr>
          <w:rFonts w:ascii="Source Sans Pro" w:eastAsia="Times New Roman" w:hAnsi="Source Sans Pro" w:cs="Calibri"/>
          <w:color w:val="0C0C0C"/>
          <w:sz w:val="24"/>
          <w:szCs w:val="24"/>
        </w:rPr>
        <w:t>with the Venn Diagram</w:t>
      </w:r>
      <w:r w:rsidR="00E809F3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  <w:bookmarkStart w:id="0" w:name="_GoBack"/>
      <w:bookmarkEnd w:id="0"/>
      <w:r w:rsidR="00D506F9">
        <w:rPr>
          <w:rFonts w:ascii="Source Sans Pro" w:eastAsia="Times New Roman" w:hAnsi="Source Sans Pro" w:cs="Calibri"/>
          <w:color w:val="0C0C0C"/>
          <w:sz w:val="24"/>
          <w:szCs w:val="24"/>
        </w:rPr>
        <w:t>, and upload to Canvas.</w:t>
      </w:r>
    </w:p>
    <w:p w14:paraId="7919925C" w14:textId="5447C5DB" w:rsidR="00D506F9" w:rsidRPr="009244CF" w:rsidRDefault="00D506F9" w:rsidP="009244CF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Use remaining time to work on independent reading. Be sure to complete at least two post its to pace yourself!</w:t>
      </w:r>
    </w:p>
    <w:p w14:paraId="236F0115" w14:textId="77777777" w:rsidR="00D506F9" w:rsidRDefault="00D506F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50B1052C" w14:textId="77777777" w:rsidR="00C50459" w:rsidRDefault="005F7B06" w:rsidP="00C5045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5213F08F" w14:textId="4A76F565" w:rsidR="00C50459" w:rsidRDefault="006D389F" w:rsidP="00C504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C50459">
        <w:rPr>
          <w:rFonts w:ascii="Calibri" w:eastAsia="Times New Roman" w:hAnsi="Calibri" w:cs="Calibri"/>
          <w:b/>
          <w:bCs/>
          <w:sz w:val="24"/>
          <w:szCs w:val="24"/>
        </w:rPr>
        <w:t>How is this assignment turned in to the teacher</w:t>
      </w:r>
      <w:r w:rsidR="00861AF1" w:rsidRPr="00C50459">
        <w:rPr>
          <w:rFonts w:ascii="Calibri" w:eastAsia="Times New Roman" w:hAnsi="Calibri" w:cs="Calibri"/>
          <w:b/>
          <w:bCs/>
          <w:sz w:val="24"/>
          <w:szCs w:val="24"/>
        </w:rPr>
        <w:t xml:space="preserve"> and what kind of feedback will be received?</w:t>
      </w:r>
      <w:r w:rsidRPr="00C50459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390D4ADD" w14:textId="28CFB79D" w:rsidR="006D389F" w:rsidRPr="00C50459" w:rsidRDefault="00D506F9" w:rsidP="00C50459">
      <w:pPr>
        <w:pStyle w:val="ListParagraph"/>
        <w:numPr>
          <w:ilvl w:val="0"/>
          <w:numId w:val="35"/>
        </w:num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C50459">
        <w:rPr>
          <w:rFonts w:ascii="Calibri" w:eastAsia="Times New Roman" w:hAnsi="Calibri" w:cs="Calibri"/>
          <w:sz w:val="24"/>
          <w:szCs w:val="24"/>
        </w:rPr>
        <w:t xml:space="preserve">Upload the </w:t>
      </w:r>
      <w:r w:rsidR="00CA3E7C" w:rsidRPr="00C50459">
        <w:rPr>
          <w:rFonts w:ascii="Calibri" w:eastAsia="Times New Roman" w:hAnsi="Calibri" w:cs="Calibri"/>
          <w:sz w:val="24"/>
          <w:szCs w:val="24"/>
        </w:rPr>
        <w:t>Whitman/Linkin Park comparison sheet to Canvas.</w:t>
      </w:r>
      <w:r w:rsidR="0011635B">
        <w:rPr>
          <w:rFonts w:ascii="Calibri" w:eastAsia="Times New Roman" w:hAnsi="Calibri" w:cs="Calibri"/>
          <w:sz w:val="24"/>
          <w:szCs w:val="24"/>
        </w:rPr>
        <w:t xml:space="preserve">  Formative feedback will be provided later.</w:t>
      </w:r>
    </w:p>
    <w:p w14:paraId="4DFDCE4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1CDFA3BC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49C0EE01" w14:textId="452934D6" w:rsidR="00876AFB" w:rsidRPr="005B3D12" w:rsidRDefault="00876AFB">
      <w:pP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</w:p>
    <w:sectPr w:rsidR="00876AFB" w:rsidRPr="005B3D12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AA0"/>
    <w:multiLevelType w:val="hybridMultilevel"/>
    <w:tmpl w:val="0C94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12F"/>
    <w:multiLevelType w:val="hybridMultilevel"/>
    <w:tmpl w:val="F364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2099E"/>
    <w:multiLevelType w:val="hybridMultilevel"/>
    <w:tmpl w:val="9F0E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75E65"/>
    <w:multiLevelType w:val="hybridMultilevel"/>
    <w:tmpl w:val="374A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F0F11"/>
    <w:multiLevelType w:val="hybridMultilevel"/>
    <w:tmpl w:val="4BAE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7331"/>
    <w:multiLevelType w:val="hybridMultilevel"/>
    <w:tmpl w:val="C82C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73FBE"/>
    <w:multiLevelType w:val="hybridMultilevel"/>
    <w:tmpl w:val="752A61A4"/>
    <w:lvl w:ilvl="0" w:tplc="979CD7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F45C6"/>
    <w:multiLevelType w:val="hybridMultilevel"/>
    <w:tmpl w:val="FCB8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405EB4"/>
    <w:multiLevelType w:val="hybridMultilevel"/>
    <w:tmpl w:val="AED6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</w:num>
  <w:num w:numId="2">
    <w:abstractNumId w:val="10"/>
    <w:lvlOverride w:ilvl="0">
      <w:startOverride w:val="2"/>
    </w:lvlOverride>
  </w:num>
  <w:num w:numId="3">
    <w:abstractNumId w:val="26"/>
  </w:num>
  <w:num w:numId="4">
    <w:abstractNumId w:val="16"/>
  </w:num>
  <w:num w:numId="5">
    <w:abstractNumId w:val="5"/>
  </w:num>
  <w:num w:numId="6">
    <w:abstractNumId w:val="22"/>
  </w:num>
  <w:num w:numId="7">
    <w:abstractNumId w:val="23"/>
    <w:lvlOverride w:ilvl="0">
      <w:startOverride w:val="1"/>
    </w:lvlOverride>
  </w:num>
  <w:num w:numId="8">
    <w:abstractNumId w:val="7"/>
    <w:lvlOverride w:ilvl="0">
      <w:startOverride w:val="3"/>
    </w:lvlOverride>
  </w:num>
  <w:num w:numId="9">
    <w:abstractNumId w:val="35"/>
    <w:lvlOverride w:ilvl="0">
      <w:startOverride w:val="4"/>
    </w:lvlOverride>
  </w:num>
  <w:num w:numId="10">
    <w:abstractNumId w:val="33"/>
    <w:lvlOverride w:ilvl="0">
      <w:startOverride w:val="1"/>
    </w:lvlOverride>
  </w:num>
  <w:num w:numId="11">
    <w:abstractNumId w:val="6"/>
    <w:lvlOverride w:ilvl="0">
      <w:startOverride w:val="3"/>
    </w:lvlOverride>
  </w:num>
  <w:num w:numId="12">
    <w:abstractNumId w:val="19"/>
  </w:num>
  <w:num w:numId="13">
    <w:abstractNumId w:val="30"/>
    <w:lvlOverride w:ilvl="0">
      <w:startOverride w:val="2"/>
    </w:lvlOverride>
  </w:num>
  <w:num w:numId="14">
    <w:abstractNumId w:val="18"/>
    <w:lvlOverride w:ilvl="0">
      <w:startOverride w:val="3"/>
    </w:lvlOverride>
  </w:num>
  <w:num w:numId="15">
    <w:abstractNumId w:val="14"/>
    <w:lvlOverride w:ilvl="0">
      <w:startOverride w:val="1"/>
    </w:lvlOverride>
  </w:num>
  <w:num w:numId="16">
    <w:abstractNumId w:val="15"/>
    <w:lvlOverride w:ilvl="0">
      <w:startOverride w:val="2"/>
    </w:lvlOverride>
  </w:num>
  <w:num w:numId="17">
    <w:abstractNumId w:val="17"/>
    <w:lvlOverride w:ilvl="0">
      <w:startOverride w:val="3"/>
    </w:lvlOverride>
  </w:num>
  <w:num w:numId="18">
    <w:abstractNumId w:val="3"/>
    <w:lvlOverride w:ilvl="0">
      <w:startOverride w:val="1"/>
    </w:lvlOverride>
  </w:num>
  <w:num w:numId="19">
    <w:abstractNumId w:val="24"/>
    <w:lvlOverride w:ilvl="0">
      <w:startOverride w:val="3"/>
    </w:lvlOverride>
  </w:num>
  <w:num w:numId="20">
    <w:abstractNumId w:val="2"/>
    <w:lvlOverride w:ilvl="0">
      <w:startOverride w:val="1"/>
    </w:lvlOverride>
  </w:num>
  <w:num w:numId="21">
    <w:abstractNumId w:val="32"/>
    <w:lvlOverride w:ilvl="0">
      <w:startOverride w:val="2"/>
    </w:lvlOverride>
  </w:num>
  <w:num w:numId="22">
    <w:abstractNumId w:val="13"/>
    <w:lvlOverride w:ilvl="0">
      <w:startOverride w:val="3"/>
    </w:lvlOverride>
  </w:num>
  <w:num w:numId="23">
    <w:abstractNumId w:val="9"/>
    <w:lvlOverride w:ilvl="0">
      <w:startOverride w:val="1"/>
    </w:lvlOverride>
  </w:num>
  <w:num w:numId="24">
    <w:abstractNumId w:val="27"/>
    <w:lvlOverride w:ilvl="0">
      <w:startOverride w:val="3"/>
    </w:lvlOverride>
  </w:num>
  <w:num w:numId="25">
    <w:abstractNumId w:val="34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20"/>
  </w:num>
  <w:num w:numId="28">
    <w:abstractNumId w:val="21"/>
  </w:num>
  <w:num w:numId="29">
    <w:abstractNumId w:val="4"/>
  </w:num>
  <w:num w:numId="30">
    <w:abstractNumId w:val="12"/>
  </w:num>
  <w:num w:numId="31">
    <w:abstractNumId w:val="11"/>
  </w:num>
  <w:num w:numId="32">
    <w:abstractNumId w:val="0"/>
  </w:num>
  <w:num w:numId="33">
    <w:abstractNumId w:val="28"/>
  </w:num>
  <w:num w:numId="34">
    <w:abstractNumId w:val="1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11635B"/>
    <w:rsid w:val="00177B1E"/>
    <w:rsid w:val="001D019A"/>
    <w:rsid w:val="00220552"/>
    <w:rsid w:val="002F7AB6"/>
    <w:rsid w:val="00427CDC"/>
    <w:rsid w:val="004C6CF7"/>
    <w:rsid w:val="005B3D12"/>
    <w:rsid w:val="005F7B06"/>
    <w:rsid w:val="006D389F"/>
    <w:rsid w:val="00773537"/>
    <w:rsid w:val="00861AF1"/>
    <w:rsid w:val="00876AFB"/>
    <w:rsid w:val="009244CF"/>
    <w:rsid w:val="00A1129B"/>
    <w:rsid w:val="00A47FE4"/>
    <w:rsid w:val="00AB0350"/>
    <w:rsid w:val="00AB492F"/>
    <w:rsid w:val="00AF3FC1"/>
    <w:rsid w:val="00B42F94"/>
    <w:rsid w:val="00BC4601"/>
    <w:rsid w:val="00C061AC"/>
    <w:rsid w:val="00C50459"/>
    <w:rsid w:val="00C66ED0"/>
    <w:rsid w:val="00C70BBE"/>
    <w:rsid w:val="00C7780A"/>
    <w:rsid w:val="00CA3E7C"/>
    <w:rsid w:val="00D506F9"/>
    <w:rsid w:val="00DC668A"/>
    <w:rsid w:val="00DE2AA9"/>
    <w:rsid w:val="00E426CB"/>
    <w:rsid w:val="00E70299"/>
    <w:rsid w:val="00E809F3"/>
    <w:rsid w:val="00EA4AF3"/>
    <w:rsid w:val="00ED38A8"/>
    <w:rsid w:val="00ED7C31"/>
    <w:rsid w:val="00E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4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d-my.sharepoint.com/:w:/g/personal/cremar_cbsd_org/EdThrROXGexIq2DjpxjKF1oBzsqb5XAskpOoZkQosgPUbQ?e=ETXLz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8sgycukafq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bsd-my.sharepoint.com/:w:/g/personal/cremar_cbsd_org/EQBSFStuBlBMlSspQGTpVXcBh0DnAYXZFAKdtjaQ7hUJ3Q?e=44uvQ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7</cp:revision>
  <dcterms:created xsi:type="dcterms:W3CDTF">2020-03-18T03:17:00Z</dcterms:created>
  <dcterms:modified xsi:type="dcterms:W3CDTF">2020-03-18T23:40:00Z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